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Types>
</file>

<file path=_rels/.rels>&#65279;<?xml version="1.0" encoding="utf-8"?><Relationships xmlns="http://schemas.openxmlformats.org/package/2006/relationships"><Relationship Type="http://schemas.openxmlformats.org/officeDocument/2006/relationships/officeDocument" Target="/word/document.xml" Id="Rfae30f411fcd48d4" /></Relationships>
</file>

<file path=word/document.xml><?xml version="1.0" encoding="utf-8"?>
<w:document xmlns:w="http://schemas.openxmlformats.org/wordprocessingml/2006/main">
  <w:body>
    <w:tbl>
      <w:tblPr>
        <w:tblW w:w="9000" w:type="dxa"/>
        <w:tblBorders>
          <w:top w:val="nil"/>
          <w:bottom w:val="nil"/>
          <w:left w:val="nil"/>
          <w:right w:val="nil"/>
          <w:insideH w:val="nil"/>
          <w:insideV w:val="nil"/>
        </w:tblBorders>
        <w:tblCellSpacing w:w="60" w:type="dxa"/>
        <w:shd w:val="clear" w:color="auto" w:fill="E7F0F9"/>
      </w:tblPr>
      <w:tblGrid>
        <w:gridCol w:w="1200"/>
        <w:gridCol w:w="4500"/>
      </w:tblGrid>
      <w:tr>
        <w:tc>
          <w:tcPr>
            <w:tcW w:w="1200" w:type="pct"/>
            <w:shd w:val="clear" w:color="auto" w:fill="E7F0F9"/>
          </w:tcPr>
          <w:p>
            <w:pPr>
              <w:spacing w:before="0" w:after="0" w:line="240" w:lineRule="auto"/>
              <w:jc w:val="left"/>
            </w:pPr>
            <w:r>
              <w:rPr>
                <w:b/>
              </w:rPr>
              <w:t xml:space="preserve">RKP broj</w:t>
            </w:r>
          </w:p>
        </w:tc>
        <w:tc>
          <w:tcPr>
            <w:shd w:val="clear" w:color="auto" w:fill="E7F0F9"/>
          </w:tcPr>
          <w:p>
            <w:pPr>
              <w:spacing w:before="0" w:after="0" w:line="240" w:lineRule="auto"/>
              <w:jc w:val="left"/>
            </w:pPr>
            <w:r>
              <w:t xml:space="preserve">47535</w:t>
            </w:r>
          </w:p>
        </w:tc>
      </w:tr>
      <w:tr>
        <w:tc>
          <w:tcPr>
            <w:tcW w:w="1200" w:type="pct"/>
            <w:shd w:val="clear" w:color="auto" w:fill="E7F0F9"/>
          </w:tcPr>
          <w:p>
            <w:pPr>
              <w:spacing w:before="0" w:after="0" w:line="240" w:lineRule="auto"/>
              <w:jc w:val="left"/>
            </w:pPr>
            <w:r>
              <w:rPr>
                <w:b/>
              </w:rPr>
              <w:t xml:space="preserve">Naziv obveznika</w:t>
            </w:r>
          </w:p>
        </w:tc>
        <w:tc>
          <w:tcPr>
            <w:shd w:val="clear" w:color="auto" w:fill="E7F0F9"/>
          </w:tcPr>
          <w:p>
            <w:pPr>
              <w:spacing w:before="0" w:after="0" w:line="240" w:lineRule="auto"/>
              <w:jc w:val="left"/>
            </w:pPr>
            <w:r>
              <w:t xml:space="preserve">ZAVOD ZA HITNU MEDICINU LIČKO-SENJSKE ŽUPANIJE</w:t>
            </w:r>
          </w:p>
        </w:tc>
      </w:tr>
      <w:tr>
        <w:tc>
          <w:tcPr>
            <w:tcW w:w="1200" w:type="pct"/>
            <w:shd w:val="clear" w:color="auto" w:fill="E7F0F9"/>
          </w:tcPr>
          <w:p>
            <w:pPr>
              <w:spacing w:before="0" w:after="0" w:line="240" w:lineRule="auto"/>
              <w:jc w:val="left"/>
            </w:pPr>
            <w:r>
              <w:rPr>
                <w:b/>
              </w:rPr>
              <w:t xml:space="preserve">Razina</w:t>
            </w:r>
          </w:p>
        </w:tc>
        <w:tc>
          <w:tcPr>
            <w:shd w:val="clear" w:color="auto" w:fill="E7F0F9"/>
          </w:tcPr>
          <w:p>
            <w:pPr>
              <w:spacing w:before="0" w:after="0" w:line="240" w:lineRule="auto"/>
              <w:jc w:val="left"/>
            </w:pPr>
            <w:r>
              <w:t xml:space="preserve">31</w:t>
            </w:r>
          </w:p>
        </w:tc>
      </w:tr>
    </w:tbl>
    <w:p>
      <w:r>
        <w:br/>
      </w:r>
    </w:p>
    <w:p>
      <w:pPr>
        <w:jc w:val="center"/>
        <w:pStyle w:val="Normal"/>
        <w:spacing w:line="240" w:lineRule="auto"/>
      </w:pPr>
      <w:r>
        <w:rPr>
          <w:b/>
          <w:sz w:val="28"/>
          <w:rFonts w:ascii="Times New Roman" w:hAnsi="Times New Roman"/>
        </w:rPr>
        <w:t>BILJEŠKE UZ FINANCIJSKE IZVJEŠTAJE</w:t>
      </w:r>
    </w:p>
    <w:p>
      <w:pPr>
        <w:jc w:val="center"/>
        <w:pStyle w:val="Normal"/>
        <w:spacing w:line="240" w:lineRule="auto"/>
      </w:pPr>
      <w:r>
        <w:rPr>
          <w:b/>
          <w:sz w:val="28"/>
          <w:rFonts w:ascii="Times New Roman" w:hAnsi="Times New Roman"/>
        </w:rPr>
        <w:t>ZA RAZDOBLJE</w:t>
      </w:r>
    </w:p>
    <w:p>
      <w:pPr>
        <w:jc w:val="center"/>
        <w:pStyle w:val="Normal"/>
        <w:spacing w:line="240" w:lineRule="auto"/>
      </w:pPr>
      <w:r>
        <w:rPr>
          <w:b/>
          <w:sz w:val="28"/>
          <w:rFonts w:ascii="Times New Roman" w:hAnsi="Times New Roman"/>
        </w:rPr>
        <w:t>I - VI 2025.</w:t>
      </w:r>
    </w:p>
    <w:p/>
    <w:p>
      <w:pPr>
        <w:jc w:val="center"/>
        <w:pStyle w:val="Normal"/>
        <w:spacing w:line="240" w:lineRule="auto"/>
        <w:keepNext/>
      </w:pPr>
      <w:r>
        <w:rPr>
          <w:b/>
          <w:sz w:val="28"/>
          <w:rFonts w:ascii="Times New Roman" w:hAnsi="Times New Roman"/>
        </w:rPr>
        <w:t>Izvještaj o prihodima i rashodima, primicima i izdacima</w:t>
      </w:r>
    </w:p>
    <w:p>
      <w:pPr>
        <w:jc w:val="center"/>
        <w:pStyle w:val="Normal"/>
        <w:spacing w:line="240" w:lineRule="auto"/>
        <w:keepNext/>
      </w:pPr>
      <w:r>
        <w:rPr>
          <w:sz w:val="28"/>
          <w:rFonts w:ascii="Times New Roman" w:hAnsi="Times New Roman"/>
        </w:rPr>
        <w:t>Bilješka 1.</w:t>
      </w:r>
    </w:p>
    <w:tbl>
      <w:tblPr>
        <w:tblBorders>
          <w:top w:val="single" w:color="BABABA" w:sz="12"/>
          <w:bottom w:val="single" w:color="BABABA" w:sz="12"/>
          <w:left w:val="single" w:color="BABABA" w:sz="12"/>
          <w:right w:val="single" w:color="BABABA" w:sz="12"/>
          <w:insideH w:val="single" w:color="BABABA" w:sz="8"/>
          <w:insideV w:val="single" w:color="DADADA" w:sz="8"/>
        </w:tblBorders>
        <w:tblW w:w="0" w:type="auto"/>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3.695.144,52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4.579.452,53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123,9</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3.674.362,92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4.283.450,54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116,6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POSLOVANJA (šifre 6-Z005)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20.781,60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296.001,99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1424,3</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nefinancijske imovine (šifre 71+72+73+74)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nabavu nefinancijske imovine (šifre 41+42+43+44+45)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17.609,17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31.622,47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179,6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PRIHODA OD NEFINANCIJSKE IMOVINE (šifre 4-7)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17.609,17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31.622,47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179,6</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Primici od financijske imovine i zaduživanja (šifre 81+82+83+84+85)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financijsku imovinu i otplate zajmova (šifre 51+52+53+54+55)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9.156,00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MANJAK PRIMITAKA OD FINANCIJSKE IMOVINE I ZADUŽIVANJA (šifre 5-8)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Y003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9.156,00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VIŠAK PRIHODA I PRIMITAKA (šifre X678-Y345)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b/>
              </w:rPr>
              <w:t>X005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3.172,43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255.223,52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b/>
              </w:rPr>
              <w:t>8045,0</w:t>
            </w:r>
          </w:p>
        </w:tc>
      </w:tr>
    </w:tbl>
    <w:p>
      <w:pPr>
        <w:spacing w:before="0" w:after="0"/>
      </w:pPr>
    </w:p>
    <w:p>
      <w:pPr>
        <w:jc w:val="both"/>
        <w:pStyle w:val="Normal"/>
        <w:spacing w:line="240" w:lineRule="auto"/>
      </w:pPr>
      <w:r>
        <w:rPr>
          <w:sz w:val="24"/>
          <w:rFonts w:ascii="Times New Roman" w:hAnsi="Times New Roman"/>
        </w:rPr>
        <w:t>Zavod za hitnu medicinu Ličko – senjske županije osnovan je odlukom Skupštine Ličko – senjske županije o osnivanju Zavoda za hitnu medicinu („Županijski glasnik“, br. 10/11) od 31. ožujka 2011. godine.
Zavod je upisan u registar trgovačkog suda u Rijeci pod službenim nazivom „Zavod za hitnu medicinu Ličko – senjske županije“.
Zavod je službeno započeo s radom 1. ožujka 2012. godine.
Svoju djelatnost Zavod obavlja na devet lokacija u Ličko – senjskoj županiji: Ispostave Gospić, Otočac, Senj, Novalja, Korenica, Lovinac, Karlobag i nova ispostava Brinje te punkt pripravnosti Donji Lapac. Od dana 1. veljače 2024. godine Zavod je od domova zdravlja na području Ličko-senjske županije (DZ Gospić, DZ Otočac, DZ Korenica, DZ Novalja i DZ Senj) preuzeo djelatnost sanitetskog prijevoza i to 59 radnika i 31 vozilo sanitetskog prijevoza. Ukupan broj zaposlenih na dan 30.06.2025. godine je 214.
Zavod je proračunski korisnik Ličko-senjske županije. Zavod se financira iz sredstava HZZO-a, Ličko-senjske županije, EU sredstava, nenadležnih proračuna,  vlastitih prihoda, pomoći i ostalih prihoda.
U izvještajnom razdoblju 2025. g. ostvareni su veći prihodi poslovanja za 884.308,01 EUR te veći rashodi poslovanja za 608.817,62 EUR iz čega je vidljiv veći rast prihoda poslovanja nego rashoda poslovanja te ostvareni bolji rezultati u usporedbi razlike prihoda i rashoda poslovanja, nego u promatranom razdoblju prethodne godine. Višak prihoda je nastao zbog više ostvarenih prihoda, knjiženja zaliha te rashoda tek po utrošku te još nerealizirane nabave sve potrebne opreme, radne odjeće i obuće, medicinske opreme i ostalog sukladno novoj zakonskoj regulativi, kao  i prijevoznih sredstava kako bih se smanjilo održavanje vozila i povećala kvaliteta. Dio navedenih nabava je u tijeku, a za ostale se vrše pripremne radnje. Također, iz prenesenog viška prihoda planirane su nabave vozila za obavljanje djelatnosti, pri čemu je u tijeku postupak nabave 3 vozila hitne medicinske pomoći i 7 vozila sanitetskog prijevoza, koji će se jednim dijelom financirati iz viška prihoda. </w:t>
      </w:r>
    </w:p>
    <w:p>
      <w:r>
        <w:br/>
      </w:r>
    </w:p>
    <w:p>
      <w:pPr>
        <w:jc w:val="center"/>
        <w:pStyle w:val="Normal"/>
        <w:spacing w:line="240" w:lineRule="auto"/>
        <w:keepNext/>
      </w:pPr>
      <w:r>
        <w:rPr>
          <w:sz w:val="28"/>
          <w:rFonts w:ascii="Times New Roman" w:hAnsi="Times New Roman"/>
        </w:rPr>
        <w:t>Bilješka 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POSLOVANJA (šifre 61+62+63+64+65+66+67+68)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3.695.144,52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4.579.452,53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123,9</w:t>
            </w:r>
          </w:p>
        </w:tc>
      </w:tr>
    </w:tbl>
    <w:p>
      <w:pPr>
        <w:spacing w:before="0" w:after="0"/>
      </w:pPr>
    </w:p>
    <w:p>
      <w:pPr>
        <w:jc w:val="both"/>
        <w:pStyle w:val="Normal"/>
        <w:spacing w:line="240" w:lineRule="auto"/>
      </w:pPr>
      <w:r>
        <w:rPr>
          <w:sz w:val="24"/>
          <w:rFonts w:ascii="Times New Roman" w:hAnsi="Times New Roman"/>
        </w:rPr>
        <w:t>Zavod je u izvještajnom razdoblju 2025. godine ostvario 884.308,01 EUR veće prihode poslovanja nego u istom razdoblju prethodne godine  zbog više ostvarenih prihoda po posebnim propisima, vlastitih prihoda i prihoda od HZZO-a na temelju ugovornih obveza, kako je prikazano po pojedinim pozicijama. Za razliku od navedenog, pomoći na poziciji 63 i ostali prihodi na poziciji 683 su smanjeni.</w:t>
      </w:r>
    </w:p>
    <w:p/>
    <w:p>
      <w:pPr>
        <w:jc w:val="center"/>
        <w:pStyle w:val="Normal"/>
        <w:spacing w:line="240" w:lineRule="auto"/>
        <w:keepNext/>
      </w:pPr>
      <w:r>
        <w:rPr>
          <w:sz w:val="28"/>
          <w:rFonts w:ascii="Times New Roman" w:hAnsi="Times New Roman"/>
        </w:rPr>
        <w:t>Bilješka 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Pomoći iz inozemstva i od subjekata unutar općeg proračuna (šifre 631+632+633+634+635+636+637+638+639)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164.677,11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18.106,15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11,0</w:t>
            </w:r>
          </w:p>
        </w:tc>
      </w:tr>
    </w:tbl>
    <w:p>
      <w:pPr>
        <w:spacing w:before="0" w:after="0"/>
      </w:pPr>
    </w:p>
    <w:p>
      <w:pPr>
        <w:jc w:val="both"/>
        <w:pStyle w:val="Normal"/>
        <w:spacing w:line="240" w:lineRule="auto"/>
      </w:pPr>
      <w:r>
        <w:rPr>
          <w:sz w:val="24"/>
          <w:rFonts w:ascii="Times New Roman" w:hAnsi="Times New Roman"/>
        </w:rPr>
        <w:t>Pomoći iz inozemstva i od subjekata unutar općeg proračuna su manje za 146.570,96 EUR u izvještajnom razdoblju 2025. g. iz razloga što nije bilo tekućih pomoći od HZZO-a (pozicija 6341) za financiranje COVID dodatka zdravstvenim djelatnicima jer je od kolovoza 2024. godine stavljena van snage Odluka o isplati Covid dodatka. S obzirom da je pripravnost za Novalju u potpunosti ugovorena s HZZO-om, u 2025. godini istu nije financirao Grad Novalja što dovodi do smanjenja pozicije 6361 te Grad Novalja i dalje financira smještaj radnika (deficitarna zanimanja) Zavoda u Novalji. Tekuće pomoći temeljem prijenosa EU sredstava u promatranom razdoblju 2025. g. manje su za za 7.548,97 EUR jer su u promatranom razdoblju prethodne godine doznačena sredstva po završnom zahtjevu za nadoknadu sredstava, za specijalističko usavršavanje doktora medicine u djelatnosti hitne medicine. U promatranom razdoblju 2025. godine, doznačena su sredstva po među-zahtjevima za nadoknadom sredstava za specijalističko usavršavanje medicinskih sestara i tehničara u djelatnosti hitne medicine</w:t>
      </w:r>
    </w:p>
    <w:p/>
    <w:p>
      <w:pPr>
        <w:jc w:val="center"/>
        <w:pStyle w:val="Normal"/>
        <w:spacing w:line="240" w:lineRule="auto"/>
        <w:keepNext/>
      </w:pPr>
      <w:r>
        <w:rPr>
          <w:sz w:val="28"/>
          <w:rFonts w:ascii="Times New Roman" w:hAnsi="Times New Roman"/>
        </w:rPr>
        <w:t>Bilješka 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po posebnim propisima (šifre 6521 do 6528)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652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4.151,20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5.688,01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137,0</w:t>
            </w:r>
          </w:p>
        </w:tc>
      </w:tr>
    </w:tbl>
    <w:p>
      <w:pPr>
        <w:spacing w:before="0" w:after="0"/>
      </w:pPr>
    </w:p>
    <w:p>
      <w:pPr>
        <w:jc w:val="both"/>
        <w:pStyle w:val="Normal"/>
        <w:spacing w:line="240" w:lineRule="auto"/>
      </w:pPr>
      <w:r>
        <w:rPr>
          <w:sz w:val="24"/>
          <w:rFonts w:ascii="Times New Roman" w:hAnsi="Times New Roman"/>
        </w:rPr>
        <w:t>Prihodi po posebnim propisima su u izvještajnom razdoblju za 1.536,81 EUR veći nego u istom razdoblju prethodne godine zbog većeg broja šteta na vozilima, po kasko i AO osiguranju, što dovodi do povećanja i rashodovne strane. </w:t>
      </w:r>
    </w:p>
    <w:p/>
    <w:p>
      <w:pPr>
        <w:jc w:val="center"/>
        <w:pStyle w:val="Normal"/>
        <w:spacing w:line="240" w:lineRule="auto"/>
        <w:keepNext/>
      </w:pPr>
      <w:r>
        <w:rPr>
          <w:sz w:val="28"/>
          <w:rFonts w:ascii="Times New Roman" w:hAnsi="Times New Roman"/>
        </w:rPr>
        <w:t>Bilješka 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661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prodaje proizvoda i robe te pruženih usluga (šifre 6614+6615)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67.879,07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72.364,96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106,6</w:t>
            </w:r>
          </w:p>
        </w:tc>
      </w:tr>
    </w:tbl>
    <w:p>
      <w:pPr>
        <w:spacing w:before="0" w:after="0"/>
      </w:pPr>
    </w:p>
    <w:p>
      <w:pPr>
        <w:jc w:val="both"/>
        <w:pStyle w:val="Normal"/>
        <w:spacing w:line="240" w:lineRule="auto"/>
      </w:pPr>
      <w:r>
        <w:rPr>
          <w:sz w:val="24"/>
          <w:rFonts w:ascii="Times New Roman" w:hAnsi="Times New Roman"/>
        </w:rPr>
        <w:t>Prihodi od prodaje proizvoda i robe te pruženih usluga u izvještajnom razdoblju 2025. g. su veći za 4.485,89 EUR nego u istom razdoblju prethodne godine. Do povećanja je došlo zbog više ostvarenih prihoda od Ministarstva unutarnjih poslova za osiguranje medicinskog tima na poslovima razminiranja, većeg broja osiguranja na raznim manifestacijama  i ostalih usluga koje Zavod pruža na tržištu.</w:t>
      </w:r>
    </w:p>
    <w:p/>
    <w:p>
      <w:pPr>
        <w:jc w:val="center"/>
        <w:pStyle w:val="Normal"/>
        <w:spacing w:line="240" w:lineRule="auto"/>
        <w:keepNext/>
      </w:pPr>
      <w:r>
        <w:rPr>
          <w:sz w:val="28"/>
          <w:rFonts w:ascii="Times New Roman" w:hAnsi="Times New Roman"/>
        </w:rPr>
        <w:t>Bilješka 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iz nadležnog proračuna za financiranje redovne djelatnosti proračunskih korisnika (šifre 6711 do 6714)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37.812,78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w:t>
            </w:r>
          </w:p>
        </w:tc>
      </w:tr>
    </w:tbl>
    <w:p>
      <w:pPr>
        <w:spacing w:before="0" w:after="0"/>
      </w:pPr>
    </w:p>
    <w:p>
      <w:pPr>
        <w:jc w:val="both"/>
        <w:pStyle w:val="Normal"/>
        <w:spacing w:line="240" w:lineRule="auto"/>
      </w:pPr>
      <w:r>
        <w:rPr>
          <w:sz w:val="24"/>
          <w:rFonts w:ascii="Times New Roman" w:hAnsi="Times New Roman"/>
        </w:rPr>
        <w:t>Prihodi iz nadležnog proračuna (decentralizirana sredstva) nisu ostvareni u promatranom razdoblju 2025. godine jer je kasnije došla suglasnost za slanje zahtjeva za refundaciju te su ovi prihodi ostvareni u srpnju 2025. godine.</w:t>
      </w:r>
    </w:p>
    <w:p/>
    <w:p>
      <w:pPr>
        <w:jc w:val="center"/>
        <w:pStyle w:val="Normal"/>
        <w:spacing w:line="240" w:lineRule="auto"/>
        <w:keepNext/>
      </w:pPr>
      <w:r>
        <w:rPr>
          <w:sz w:val="28"/>
          <w:rFonts w:ascii="Times New Roman" w:hAnsi="Times New Roman"/>
        </w:rPr>
        <w:t>Bilješka 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Prihodi od HZZO-a na temelju ugovornih obveza</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673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3.414.849,60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4.482.321,29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131,3</w:t>
            </w:r>
          </w:p>
        </w:tc>
      </w:tr>
    </w:tbl>
    <w:p>
      <w:pPr>
        <w:spacing w:before="0" w:after="0"/>
      </w:pPr>
    </w:p>
    <w:p>
      <w:pPr>
        <w:jc w:val="both"/>
        <w:pStyle w:val="Normal"/>
        <w:spacing w:line="240" w:lineRule="auto"/>
      </w:pPr>
      <w:r>
        <w:rPr>
          <w:sz w:val="24"/>
          <w:rFonts w:ascii="Times New Roman" w:hAnsi="Times New Roman"/>
        </w:rPr>
        <w:t>Prihodi od HZZO-a na temelju ugovornih obveza u izvještajnom razdoblju 2025. g. su za 1.067.471,69 EUR veći nego u istom razdoblju prethodne godine. U odnosu na 2024., u 2025. g. do povećanja je došlo zbog povećanja glavarine, gdje ukupno povećanje prihoda od HZZO-a na temelju ugovornih obveza iznosi 1.022.850,72 EUR. Rast glavarine je uvjetovan povećanjem osnovice za plaće od veljače 2025., izmjenama u sastavima timova, povećanjem koeficijenata od 1. ožujka 2024. godine i ostalih materijalnih prava, kao i preuzimanjem djelatnosti sanitetskog prijevoza od 1.2.2024. godine, te uspostavljanjem nove ispostave Brinje u 2025. godini. Također, do povećanja ovih prihoda je došlo i zbog većih prihoda po ispostavljenim računima za prijeđene kilometre, provođenje zdravstvene zaštite kroz lijekove i potrošni materijal i prihoda od ino-osiguranika za 44.620,97 EUR, iz razloga fakturiranja sanitetskog prijevoza kroz cijelo razdoblje (u 2024. g. od 1.2.2024.g.) te veći broj usluga po europskim karticama zdravstvenog osiguranja.</w:t>
      </w:r>
    </w:p>
    <w:p/>
    <w:p>
      <w:pPr>
        <w:jc w:val="center"/>
        <w:pStyle w:val="Normal"/>
        <w:spacing w:line="240" w:lineRule="auto"/>
        <w:keepNext/>
      </w:pPr>
      <w:r>
        <w:rPr>
          <w:sz w:val="28"/>
          <w:rFonts w:ascii="Times New Roman" w:hAnsi="Times New Roman"/>
        </w:rPr>
        <w:t>Bilješka 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683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prihodi</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683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5.687,19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845,81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14,9</w:t>
            </w:r>
          </w:p>
        </w:tc>
      </w:tr>
    </w:tbl>
    <w:p>
      <w:pPr>
        <w:spacing w:before="0" w:after="0"/>
      </w:pPr>
    </w:p>
    <w:p>
      <w:pPr>
        <w:jc w:val="both"/>
        <w:pStyle w:val="Normal"/>
        <w:spacing w:line="240" w:lineRule="auto"/>
      </w:pPr>
      <w:r>
        <w:rPr>
          <w:sz w:val="24"/>
          <w:rFonts w:ascii="Times New Roman" w:hAnsi="Times New Roman"/>
        </w:rPr>
        <w:t>Ostali prihodi su manji za 4.841,38 EUR u odnosu na prethodnu godinu iz razloga što su u promatranom razdoblju prethodne godine izvršeni povrati sredstava za edukacije i školarine od strane radnika Zavoda po prestanku radnog odnosa, sukladno sklopljenim Ugovorima i neispunjenu istih, a istoga ove godine nije bilo.
Ostalih većih odstupanja kod prihoda poslovanja u izvještajnom razdoblju 2025. g., u odnosu na isto razdoblje 2024. g. nije bilo.
</w:t>
      </w:r>
    </w:p>
    <w:p/>
    <w:p>
      <w:pPr>
        <w:jc w:val="center"/>
        <w:pStyle w:val="Normal"/>
        <w:spacing w:line="240" w:lineRule="auto"/>
        <w:keepNext/>
      </w:pPr>
      <w:r>
        <w:rPr>
          <w:sz w:val="28"/>
          <w:rFonts w:ascii="Times New Roman" w:hAnsi="Times New Roman"/>
        </w:rPr>
        <w:t>Bilješka 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POSLOVANJA (šifre 31+32+34+35+36+37+38)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3.674.362,92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4.283.450,54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116,6</w:t>
            </w:r>
          </w:p>
        </w:tc>
      </w:tr>
    </w:tbl>
    <w:p>
      <w:pPr>
        <w:spacing w:before="0" w:after="0"/>
      </w:pPr>
    </w:p>
    <w:p>
      <w:pPr>
        <w:jc w:val="both"/>
        <w:pStyle w:val="Normal"/>
        <w:spacing w:line="240" w:lineRule="auto"/>
      </w:pPr>
      <w:r>
        <w:rPr>
          <w:sz w:val="24"/>
          <w:rFonts w:ascii="Times New Roman" w:hAnsi="Times New Roman"/>
        </w:rPr>
        <w:t>Zavod je u izvještajnom razdoblju 2025. g. ostvario veće rashode za 609.087,62 EUR nego u istom razdoblju 2024. g. Razlozi povećanja rashoda poslovanja i veća odstupanja u odnosu na ostvareno prethodne godine, prikazani su po pozicijama.</w:t>
      </w:r>
    </w:p>
    <w:p/>
    <w:p>
      <w:pPr>
        <w:jc w:val="center"/>
        <w:pStyle w:val="Normal"/>
        <w:spacing w:line="240" w:lineRule="auto"/>
        <w:keepNext/>
      </w:pPr>
      <w:r>
        <w:rPr>
          <w:sz w:val="28"/>
          <w:rFonts w:ascii="Times New Roman" w:hAnsi="Times New Roman"/>
        </w:rPr>
        <w:t>Bilješka 10.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zaposlene (šifre 311+312+313)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2.793.696,53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3.183.598,18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114,0</w:t>
            </w:r>
          </w:p>
        </w:tc>
      </w:tr>
    </w:tbl>
    <w:p>
      <w:pPr>
        <w:spacing w:before="0" w:after="0"/>
      </w:pPr>
    </w:p>
    <w:p>
      <w:pPr>
        <w:jc w:val="both"/>
        <w:pStyle w:val="Normal"/>
        <w:spacing w:line="240" w:lineRule="auto"/>
      </w:pPr>
      <w:r>
        <w:rPr>
          <w:sz w:val="24"/>
          <w:rFonts w:ascii="Times New Roman" w:hAnsi="Times New Roman"/>
        </w:rPr>
        <w:t>Rashodi za zaposlene u razdoblju 1-6. 2025. g. su veći su za 389.901,65 EUR u odnosu na 1-6. mj. 2024. g., a razlog povećanja su veće bruto plaće i doprinosi na plaće.</w:t>
      </w:r>
    </w:p>
    <w:p/>
    <w:p>
      <w:pPr>
        <w:jc w:val="center"/>
        <w:pStyle w:val="Normal"/>
        <w:spacing w:line="240" w:lineRule="auto"/>
        <w:keepNext/>
      </w:pPr>
      <w:r>
        <w:rPr>
          <w:sz w:val="28"/>
          <w:rFonts w:ascii="Times New Roman" w:hAnsi="Times New Roman"/>
        </w:rPr>
        <w:t>Bilješka 11.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Plaće (bruto) (šifre 3111 do 3114)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2.390.678,90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2.730.617,61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114,2</w:t>
            </w:r>
          </w:p>
        </w:tc>
      </w:tr>
    </w:tbl>
    <w:p>
      <w:pPr>
        <w:spacing w:before="0" w:after="0"/>
      </w:pPr>
    </w:p>
    <w:p>
      <w:pPr>
        <w:jc w:val="both"/>
        <w:pStyle w:val="Normal"/>
        <w:spacing w:line="240" w:lineRule="auto"/>
      </w:pPr>
      <w:r>
        <w:rPr>
          <w:sz w:val="24"/>
          <w:rFonts w:ascii="Times New Roman" w:hAnsi="Times New Roman"/>
        </w:rPr>
        <w:t>Plaće (bruto) veće su za 339.938,71 EUR. Do povećanja je došlo zbog većih plaća za redovan rad iz razloga rasta osnovice za plaće od veljače 2025. godine i porasta koeficijenata sukladno novom Zakonu o plaćama i pripadajućim uredbama od 1.3.2024. g., zbog nove ispostave Brinje, kao i zbog preuzimanja djelatnosti sanitetskog prijevoza od 1.2.2024. godine gdje kroz cijelo izvještajno razdoblje 2025. godine Zavod ima veći broj radnika. U 2025. godini nisu izvršeni rashodi plaća za posebne uvjete rada jer nije bilo Covid dodatka, a u skladu s prihodovnom stranom. Do odstupanja kod plaća za prekovremeni rad je došlo jer je od veljače 2024. godine uvedeno ispravno knjiženje prekovremenog rada, a u 2025., godini se odnosi na cijelo izvještajno razdoblje. </w:t>
      </w:r>
    </w:p>
    <w:p/>
    <w:p>
      <w:pPr>
        <w:jc w:val="center"/>
        <w:pStyle w:val="Normal"/>
        <w:spacing w:line="240" w:lineRule="auto"/>
        <w:keepNext/>
      </w:pPr>
      <w:r>
        <w:rPr>
          <w:sz w:val="28"/>
          <w:rFonts w:ascii="Times New Roman" w:hAnsi="Times New Roman"/>
        </w:rPr>
        <w:t>Bilješka 12.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rashodi za zaposlene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87.983,63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95.804,13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108,9</w:t>
            </w:r>
          </w:p>
        </w:tc>
      </w:tr>
    </w:tbl>
    <w:p>
      <w:pPr>
        <w:spacing w:before="0" w:after="0"/>
      </w:pPr>
    </w:p>
    <w:p>
      <w:pPr>
        <w:jc w:val="both"/>
        <w:pStyle w:val="Normal"/>
        <w:spacing w:line="240" w:lineRule="auto"/>
      </w:pPr>
      <w:r>
        <w:rPr>
          <w:sz w:val="24"/>
          <w:rFonts w:ascii="Times New Roman" w:hAnsi="Times New Roman"/>
        </w:rPr>
        <w:t>Ostali rashodi za zaposlene su veći za 7.820,50 EUR zbog većeg broja radnika, a time i većih iznosa za materijalna prava radnika.</w:t>
      </w:r>
    </w:p>
    <w:p/>
    <w:p>
      <w:pPr>
        <w:jc w:val="center"/>
        <w:pStyle w:val="Normal"/>
        <w:spacing w:line="240" w:lineRule="auto"/>
        <w:keepNext/>
      </w:pPr>
      <w:r>
        <w:rPr>
          <w:sz w:val="28"/>
          <w:rFonts w:ascii="Times New Roman" w:hAnsi="Times New Roman"/>
        </w:rPr>
        <w:t>Bilješka 13.</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Doprinosi na plaće (šifre 3131 do 3133)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313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315.034,00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357.176,44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113,4</w:t>
            </w:r>
          </w:p>
        </w:tc>
      </w:tr>
    </w:tbl>
    <w:p>
      <w:pPr>
        <w:spacing w:before="0" w:after="0"/>
      </w:pPr>
    </w:p>
    <w:p>
      <w:pPr>
        <w:jc w:val="both"/>
        <w:pStyle w:val="Normal"/>
        <w:spacing w:line="240" w:lineRule="auto"/>
      </w:pPr>
      <w:r>
        <w:rPr>
          <w:sz w:val="24"/>
          <w:rFonts w:ascii="Times New Roman" w:hAnsi="Times New Roman"/>
        </w:rPr>
        <w:t>Doprinosi na plaće su veći za 42.142,44 EUR a u skladu s povećanjem bruto plaća.</w:t>
      </w:r>
    </w:p>
    <w:p/>
    <w:p>
      <w:pPr>
        <w:jc w:val="center"/>
        <w:pStyle w:val="Normal"/>
        <w:spacing w:line="240" w:lineRule="auto"/>
        <w:keepNext/>
      </w:pPr>
      <w:r>
        <w:rPr>
          <w:sz w:val="28"/>
          <w:rFonts w:ascii="Times New Roman" w:hAnsi="Times New Roman"/>
        </w:rPr>
        <w:t>Bilješka 14.</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Materijalni rashodi (šifre 321+322+323+324+325+329)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876.232,50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1.095.190,75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125,0</w:t>
            </w:r>
          </w:p>
        </w:tc>
      </w:tr>
    </w:tbl>
    <w:p>
      <w:pPr>
        <w:spacing w:before="0" w:after="0"/>
      </w:pPr>
    </w:p>
    <w:p>
      <w:pPr>
        <w:jc w:val="both"/>
        <w:pStyle w:val="Normal"/>
        <w:spacing w:line="240" w:lineRule="auto"/>
      </w:pPr>
      <w:r>
        <w:rPr>
          <w:sz w:val="24"/>
          <w:rFonts w:ascii="Times New Roman" w:hAnsi="Times New Roman"/>
        </w:rPr>
        <w:t>Materijalni rashodi u izvještajnom razdoblju 2025. g. veći su za 218.958,25 EUR u odnosu na isto razdoblje 2024. g. Do povećanja materijalnih rashoda je u najvećoj mjeri došlo zbog preuzimanja djelatnosti sanitetskog prijevoza te isti u 2025. godini uključuju svih šest mjeseci, a 2024. godine od 1. veljače.  Također, do povećanja ovih rashoda dovodi i otvaranje nove Ispostave Brinje u 2025. godini. </w:t>
      </w:r>
    </w:p>
    <w:p/>
    <w:p>
      <w:pPr>
        <w:jc w:val="center"/>
        <w:pStyle w:val="Normal"/>
        <w:spacing w:line="240" w:lineRule="auto"/>
        <w:keepNext/>
      </w:pPr>
      <w:r>
        <w:rPr>
          <w:sz w:val="28"/>
          <w:rFonts w:ascii="Times New Roman" w:hAnsi="Times New Roman"/>
        </w:rPr>
        <w:t>Bilješka 15.</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321</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Naknade troškova zaposlenima (šifre 3211 do 3214)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109.237,87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102.059,53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93,4</w:t>
            </w:r>
          </w:p>
        </w:tc>
      </w:tr>
    </w:tbl>
    <w:p>
      <w:pPr>
        <w:spacing w:before="0" w:after="0"/>
      </w:pPr>
    </w:p>
    <w:p>
      <w:pPr>
        <w:jc w:val="both"/>
        <w:pStyle w:val="Normal"/>
        <w:spacing w:line="240" w:lineRule="auto"/>
      </w:pPr>
      <w:r>
        <w:rPr>
          <w:sz w:val="24"/>
          <w:rFonts w:ascii="Times New Roman" w:hAnsi="Times New Roman"/>
        </w:rPr>
        <w:t>Naknade troškova zaposlenima – u promatranom razdoblju 2025. g., u odnosu na isto razdoblje prethodne godine, smanjene su za 7.178,34 EUR.  Do smanjenja je došlo zbog manjih rashoda za stručno usavršavanje radnika, dok kod ostalih pozicija nije bilo većih odstupanja te isto ovisi o trenutnim potrebama zavoda. </w:t>
      </w:r>
    </w:p>
    <w:p/>
    <w:p>
      <w:pPr>
        <w:jc w:val="center"/>
        <w:pStyle w:val="Normal"/>
        <w:spacing w:line="240" w:lineRule="auto"/>
        <w:keepNext/>
      </w:pPr>
      <w:r>
        <w:rPr>
          <w:sz w:val="28"/>
          <w:rFonts w:ascii="Times New Roman" w:hAnsi="Times New Roman"/>
        </w:rPr>
        <w:t>Bilješka 16.</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materijal i energiju (šifre 3221 do 3227)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242.520,81</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224.885,02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92,7</w:t>
            </w:r>
          </w:p>
        </w:tc>
      </w:tr>
    </w:tbl>
    <w:p>
      <w:pPr>
        <w:spacing w:before="0" w:after="0"/>
      </w:pPr>
    </w:p>
    <w:p>
      <w:pPr>
        <w:jc w:val="both"/>
        <w:pStyle w:val="Normal"/>
        <w:spacing w:line="240" w:lineRule="auto"/>
      </w:pPr>
      <w:r>
        <w:rPr>
          <w:sz w:val="24"/>
          <w:rFonts w:ascii="Times New Roman" w:hAnsi="Times New Roman"/>
        </w:rPr>
        <w:t>Rashodi za materijal i energiju - u promatranom razdoblju 2025. g., u odnosu na isto razdoblje prethodne godine, smanjeni su za 17.635,79 EUR. Pozicija „materijal i sirovine“ je smanjena jer su rashodi utroška lijekova i potrošnog medicinskog materijala prema novom Pravilniku o proračunskom računovodstvu i računskom planu knjiženi na novu poziciju 325. Preostali iznos se odnosi na materijal i sirovine koje su odmah u upotrebi te se ne drže na zalihi. Rashodi za energiju i materijal i dijelovi za održavanje su povećani u 2025. godini, zbog većeg broja vozila kroz svih šest mjeseci promatranog razdoblja, a zbog preuzimanja saniteta od 1.2.2024. g., kao i zbog dodatnog vozila za timove u novoj ispostavi Brinje. Povećana je nabava službene odjeća i obuće u promatranom razdoblju, ali smanjena nabava ljetnih autoguma, što dovodi do smanjenja ove pozicije, a sve sukladno potrebama zavoda.</w:t>
      </w:r>
    </w:p>
    <w:p/>
    <w:p>
      <w:pPr>
        <w:jc w:val="center"/>
        <w:pStyle w:val="Normal"/>
        <w:spacing w:line="240" w:lineRule="auto"/>
        <w:keepNext/>
      </w:pPr>
      <w:r>
        <w:rPr>
          <w:sz w:val="28"/>
          <w:rFonts w:ascii="Times New Roman" w:hAnsi="Times New Roman"/>
        </w:rPr>
        <w:t>Bilješka 17.</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za usluge (šifre 3231 do 3239)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323</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499.776,74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708.551,36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141,8</w:t>
            </w:r>
          </w:p>
        </w:tc>
      </w:tr>
    </w:tbl>
    <w:p>
      <w:pPr>
        <w:spacing w:before="0" w:after="0"/>
      </w:pPr>
    </w:p>
    <w:p>
      <w:pPr>
        <w:jc w:val="both"/>
        <w:pStyle w:val="Normal"/>
        <w:spacing w:line="240" w:lineRule="auto"/>
      </w:pPr>
      <w:r>
        <w:rPr>
          <w:sz w:val="24"/>
          <w:rFonts w:ascii="Times New Roman" w:hAnsi="Times New Roman"/>
        </w:rPr>
        <w:t>323 Rashodi za usluge su veći za 208.774,62 EUR. Do povećanja je došlo prvenstveno zbog većih usluga tekućeg i investicijskog održavanja što je uvjetovano većim brojem vozila kroz svih šest mjeseca 2025. godine, a ne pet kao prethodne godine (od 1.2.2024. preuzimanje saniteta), odnosno većim brojem prijeđenih kilometara i time povećanjem broja popravaka, kao i štetama na vozilima i većim kvarovima. Zbog obveze dvogodišnjeg održavanja Oxyloga, kao i većeg broja opreme, povećani su i rashodi za održavanje medicinske opreme u promatranom razdoblju. Isto tako, investicijsko održavanje ispostava Korenica i Lovinac, gdje su promijenjeni dotrajali podovi i izvedeni drugi radovi na održavanju, dovodi do povećanja ovih rashoda  Također, zbog nove ispostave Brinje, većeg broja vanjskih radnika zbog nedostatka vlastitih, a i u skladu s povećanjem plaća i cijene rada, povećane su i naknade vanjskim suradnicima za obavljanje djelatnosti u timovima HMP, što dovodi do povećanja rashoda za zdravstvene i intelektualne i osobne usluge. Kod ostalih pozicija radi se o manjim odstupanjima, odnosno povećanjima i smanjenjima sukladno dinamici nabave.</w:t>
      </w:r>
    </w:p>
    <w:p/>
    <w:p>
      <w:pPr>
        <w:jc w:val="center"/>
        <w:pStyle w:val="Normal"/>
        <w:spacing w:line="240" w:lineRule="auto"/>
        <w:keepNext/>
      </w:pPr>
      <w:r>
        <w:rPr>
          <w:sz w:val="28"/>
          <w:rFonts w:ascii="Times New Roman" w:hAnsi="Times New Roman"/>
        </w:rPr>
        <w:t>Bilješka 18.</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325</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Rashodi lijekova i potrošnog medicinskog materijala kod zdravstvenih ustanova (šifre 3251 do 3254)</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325</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28.547,26</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Rashodi lijekova i potrošnog medicinsko materijala iznose 28.547,26 EUR i knjiženi su po osnovi utroška i temeljem novog Pravilnika i računskog plana na poziciju 325, a u promatranom razdoblju prethodne godine su isti knjiženi na materijal i sirovine sukladno tada važećoj regulativi, stoga nema izvršenja pozicije 325 u 2024. godini jer iste nije niti bilo</w:t>
      </w:r>
    </w:p>
    <w:p/>
    <w:p>
      <w:pPr>
        <w:jc w:val="center"/>
        <w:pStyle w:val="Normal"/>
        <w:spacing w:line="240" w:lineRule="auto"/>
        <w:keepNext/>
      </w:pPr>
      <w:r>
        <w:rPr>
          <w:sz w:val="28"/>
          <w:rFonts w:ascii="Times New Roman" w:hAnsi="Times New Roman"/>
        </w:rPr>
        <w:t>Bilješka 19.</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Ostali nespomenuti rashodi poslovanja (šifre 3291 do 3299)</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329</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24.697,08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31.147,58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126,1</w:t>
            </w:r>
          </w:p>
        </w:tc>
      </w:tr>
    </w:tbl>
    <w:p>
      <w:pPr>
        <w:spacing w:before="0" w:after="0"/>
      </w:pPr>
    </w:p>
    <w:p>
      <w:pPr>
        <w:jc w:val="both"/>
        <w:pStyle w:val="Normal"/>
        <w:spacing w:line="240" w:lineRule="auto"/>
      </w:pPr>
      <w:r>
        <w:rPr>
          <w:sz w:val="24"/>
          <w:rFonts w:ascii="Times New Roman" w:hAnsi="Times New Roman"/>
        </w:rPr>
        <w:t>Ostali nespomenuti rashodi poslovanja su u promatranom razdoblju 2025. g., u odnosu na isto razdoblje 2024.g., veći za 6.450,5 EUR. Do povećanja je došlo zbog povećanja rashoda za premije osiguranja (veći broj vozila), veće reprezentacije zbog otvaranja ispostave Brinje i rashoda protokola (vijenci i dr.), kao i plaćanja sudskih pristojbi i naknada i povećanja HRT pristojbe zbog većeg broja vozila i time plaćanja radio pristojbi.</w:t>
      </w:r>
    </w:p>
    <w:p/>
    <w:p>
      <w:pPr>
        <w:jc w:val="center"/>
        <w:pStyle w:val="Normal"/>
        <w:spacing w:line="240" w:lineRule="auto"/>
        <w:keepNext/>
      </w:pPr>
      <w:r>
        <w:rPr>
          <w:sz w:val="28"/>
          <w:rFonts w:ascii="Times New Roman" w:hAnsi="Times New Roman"/>
        </w:rPr>
        <w:t>Bilješka 20.</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Postrojenja i oprema (šifre 4221 do 4228)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422</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17.609,17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31.622,47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179,6</w:t>
            </w:r>
          </w:p>
        </w:tc>
      </w:tr>
    </w:tbl>
    <w:p>
      <w:pPr>
        <w:spacing w:before="0" w:after="0"/>
      </w:pPr>
    </w:p>
    <w:p>
      <w:pPr>
        <w:jc w:val="both"/>
        <w:pStyle w:val="Normal"/>
        <w:spacing w:line="240" w:lineRule="auto"/>
      </w:pPr>
      <w:r>
        <w:rPr>
          <w:sz w:val="24"/>
          <w:rFonts w:ascii="Times New Roman" w:hAnsi="Times New Roman"/>
        </w:rPr>
        <w:t>Postrojenja i oprema su u 1-6. 2025. g., u odnosu na 1-6. 2024. g., veći za 14.013,6 EUR zbog povećanja na stavkama nabave medicinske opreme za sjedište Gospić, klima uređaja za sjedište Gospić i ispostave Zavoda, ugradnja videonadzora po ispostavama Zavoda i nabava kuhinje za ispostavu Korenica te ostale potrebne opreme.
</w:t>
      </w:r>
    </w:p>
    <w:p/>
    <w:p>
      <w:pPr>
        <w:jc w:val="center"/>
        <w:pStyle w:val="Normal"/>
        <w:spacing w:line="240" w:lineRule="auto"/>
        <w:keepNext/>
      </w:pPr>
      <w:r>
        <w:rPr>
          <w:sz w:val="28"/>
          <w:rFonts w:ascii="Times New Roman" w:hAnsi="Times New Roman"/>
        </w:rPr>
        <w:t>Bilješka 21.</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prethodne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Ostvareno u izvještajnom razdoblju tekuće godine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518</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Izdaci za jamčevne pologe</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518</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0,00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9.156,00</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 Izdaci za jamčevne pologe iznose 9.156,00 EUR, a isti prethodne godine nisu knjiženi kao izdaci, već jamčevni polozi. Odnose se na dana jamstva, uplaćena u državni proračun, radi sudjelovanja na natječaju MUP-a za pružanje usluga medicinskog tima na poslovima razminiranja.</w:t>
      </w:r>
    </w:p>
    <w:p/>
    <w:p>
      <w:pPr>
        <w:jc w:val="center"/>
        <w:pStyle w:val="Normal"/>
        <w:spacing w:line="240" w:lineRule="auto"/>
        <w:keepNext/>
      </w:pPr>
      <w:r>
        <w:rPr>
          <w:b/>
          <w:sz w:val="28"/>
          <w:rFonts w:ascii="Times New Roman" w:hAnsi="Times New Roman"/>
        </w:rPr>
        <w:t>Izvještaj o obvezama</w:t>
      </w:r>
    </w:p>
    <w:p>
      <w:pPr>
        <w:jc w:val="center"/>
        <w:pStyle w:val="Normal"/>
        <w:spacing w:line="240" w:lineRule="auto"/>
        <w:keepNext/>
      </w:pPr>
      <w:r>
        <w:rPr>
          <w:sz w:val="28"/>
          <w:rFonts w:ascii="Times New Roman" w:hAnsi="Times New Roman"/>
        </w:rPr>
        <w:t>Bilješka 22.</w:t>
      </w:r>
    </w:p>
    <w:tbl>
      <w:tblPr>
        <w:tblBorders>
          <w:top w:val="single" w:color="BABABA" w:sz="12"/>
          <w:bottom w:val="single" w:color="BABABA" w:sz="12"/>
          <w:left w:val="single" w:color="BABABA" w:sz="12"/>
          <w:right w:val="single" w:color="BABABA" w:sz="12"/>
          <w:insideH w:val="single" w:color="BABABA" w:sz="8"/>
          <w:insideV w:val="single" w:color="DADADA" w:sz="8"/>
        </w:tblBorders>
        <w:tblW w:w="9000" w:type="dxa"/>
        <w:tblLayout w:type="fixed"/>
        <w:tblCellMar>
          <w:left w:w="40" w:type="dxa"/>
          <w:right w:w="40" w:type="dxa"/>
        </w:tblCellMar>
      </w:tblPr>
      <w:tblGrid>
        <w:gridCol w:w="700"/>
        <w:gridCol w:w="3180"/>
        <w:gridCol w:w="700"/>
        <w:gridCol w:w="1860"/>
        <w:gridCol w:w="700"/>
      </w:tblGrid>
      <w:tr>
        <w:trPr>
          <w:cantSplit/>
        </w:trPr>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Račun iz rač. plana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Opis stavke</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Šifra</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Iznos</w:t>
            </w:r>
          </w:p>
        </w:tc>
        <w:tc>
          <w:tcPr>
            <w:shd w:val="clear" w:color="auto" w:fill="E7F0F9"/>
            <w:tcMar>
              <w:top w:w="0" w:type="dxa"/>
              <w:bottom w:w="0" w:type="dxa"/>
            </w:tcMar>
            <w:vAlign w:val="center"/>
          </w:tcPr>
          <w:p>
            <w:pPr>
              <w:jc w:val="center"/>
              <w:pStyle w:val="Normal"/>
              <w:spacing w:before="0" w:after="0" w:line="240" w:lineRule="auto"/>
              <w:keepNext/>
              <w:keepLines/>
            </w:pPr>
            <w:r>
              <w:rPr>
                <w:sz w:val="18"/>
                <w:rFonts w:ascii="Times New Roman" w:hAnsi="Times New Roman"/>
                <w:b/>
              </w:rPr>
              <w:t>Indeks (%)</w:t>
            </w:r>
          </w:p>
        </w:tc>
      </w:tr>
      <w:tr>
        <w:trPr>
          <w:trHeight w:val="560" w:hRule="atLeast"/>
          <w:cantSplit/>
        </w:trPr>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Stanje dospjelih obveza na kraju izvještajnog razdoblja (šifre V008+D23+D24 + 'D dio 25,26' + D27)</w:t>
            </w:r>
          </w:p>
        </w:tc>
        <w:tc>
          <w:tcPr>
            <w:tcMar>
              <w:top w:w="0" w:type="dxa"/>
              <w:bottom w:w="0" w:type="dxa"/>
            </w:tcMar>
            <w:vAlign w:val="center"/>
          </w:tcPr>
          <w:p>
            <w:pPr>
              <w:jc w:val="left"/>
              <w:pStyle w:val="Normal"/>
              <w:spacing w:before="0" w:after="0" w:line="240" w:lineRule="auto"/>
              <w:keepNext/>
              <w:keepLines/>
            </w:pPr>
            <w:r>
              <w:rPr>
                <w:sz w:val="18"/>
                <w:rFonts w:ascii="Times New Roman" w:hAnsi="Times New Roman"/>
              </w:rPr>
              <w:t>V007</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10.247,24</w:t>
            </w:r>
          </w:p>
        </w:tc>
        <w:tc>
          <w:tcPr>
            <w:tcMar>
              <w:top w:w="0" w:type="dxa"/>
              <w:bottom w:w="0" w:type="dxa"/>
            </w:tcMar>
            <w:vAlign w:val="center"/>
          </w:tcPr>
          <w:p>
            <w:pPr>
              <w:jc w:val="right"/>
              <w:pStyle w:val="Normal"/>
              <w:spacing w:before="0" w:after="0" w:line="240" w:lineRule="auto"/>
              <w:keepNext/>
              <w:keepLines/>
            </w:pPr>
            <w:r>
              <w:rPr>
                <w:sz w:val="18"/>
                <w:rFonts w:ascii="Times New Roman" w:hAnsi="Times New Roman"/>
              </w:rPr>
              <w:t>-</w:t>
            </w:r>
          </w:p>
        </w:tc>
      </w:tr>
    </w:tbl>
    <w:p>
      <w:pPr>
        <w:spacing w:before="0" w:after="0"/>
      </w:pPr>
    </w:p>
    <w:p>
      <w:pPr>
        <w:jc w:val="both"/>
        <w:pStyle w:val="Normal"/>
        <w:spacing w:line="240" w:lineRule="auto"/>
      </w:pPr>
      <w:r>
        <w:rPr>
          <w:sz w:val="24"/>
          <w:rFonts w:ascii="Times New Roman" w:hAnsi="Times New Roman"/>
        </w:rPr>
        <w:t>Dospjele obveze iznose 10.247,24 EUR. Od ukupno dospjelih obveza, 5.007,86 EUR su dospjele obveze preko 360 dana koje se odnose na prijašnja razdoblja, pri čemu nije bilo moguće utvrditi okolnosti nastanka istih i potrebno je određeno vrijeme za usklađenje sa dobavljačima.  Za ove obveze bit će provedeno usklađenja s vjerovnicima i otpis u 2025. godini. Preostali iznos od 5.239,38 EUR dospjelih obveza se uglavnom odnose na prekoračenja do 60 dana i manji iznos preko 61 dan. Podmirene su sa zakašnjenjem zbog dostavljanja računa bez privitaka potrebnih za utvrđivanje ispravnosti i likvidiranje ugovornih računa te čekanje privitaka, zbog prekratkih rokova dospijeća u kojima nije moguće kompletirati račun, zbog naknadne ponovne dostave e-računa koji nisu prošli kroz sustav te je datum dospijeća istekao prije zaprimanja kroz sustav, kao i zbog odsutnosti radnika zaduženih za provjeru ispravnosti računa te sporiju dinamiku istoga. Dakle, obveze su podmirene sa zakašnjenjem zbog kasnijeg zaprimanja, kompletiranja računa i potrebne provjere ispravnosti računa te se podmiruju u kraćim rokovima prekoračenja.</w:t>
      </w:r>
    </w:p>
    <w:p/>
  </w:body>
</w:document>
</file>

<file path=word/styles.xml><?xml version="1.0" encoding="utf-8"?>
<w:styles xmlns:w="http://schemas.openxmlformats.org/wordprocessingml/2006/main">
  <w:style w:type="paragraph" w:styleId="Normal" w:default="true">
    <w:name w:val="Normal"/>
    <w:rPr>
      <w:rFonts w:ascii="Times New Roman" w:hAnsi="Times New Roman"/>
      <w:sz w:val="24"/>
    </w:rPr>
  </w:style>
</w:styles>
</file>

<file path=word/_rels/document.xml.rels>&#65279;<?xml version="1.0" encoding="utf-8"?><Relationships xmlns="http://schemas.openxmlformats.org/package/2006/relationships"><Relationship Type="http://schemas.openxmlformats.org/officeDocument/2006/relationships/styles" Target="/word/styles.xml" Id="Race145ad6e4e450a" /></Relationships>
</file>